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ATTENTION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If you speak one of the following languages, assistance services, free of charge, are available to you. Please ask for assistance from a staff member.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Español (Spanish)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ATENCIÓN:  Si habla español, tiene a su disposición servicios gratuitos de asistencia lingüística.  Pida asistencia de un empleado.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(Arabic)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ملحوظة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كنت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تتحدث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اذكر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فإن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خدمات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المساعدة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اللغوية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تتوافر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لك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بالمجان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اتصل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 ;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1"/>
        </w:rPr>
        <w:t xml:space="preserve">رجاء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1"/>
        </w:rPr>
        <w:t xml:space="preserve">سألت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1"/>
        </w:rPr>
        <w:t xml:space="preserve">للحصول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1"/>
        </w:rPr>
        <w:t xml:space="preserve">المساعدة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PMingLiU" w:cs="PMingLiU" w:eastAsia="PMingLiU" w:hAnsi="PMingLiU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繁體中文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(Chinese)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注意：如果您使用繁體中文，您可以免費獲得語言援助服務。請致電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请求助工作人员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ܣܘ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ܼ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ܪ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ܸ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ܬ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݂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(Assyrian)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ܙܘ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ܼ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ܗ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ܪ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ܐ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ܐ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ܸ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ܢ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ܐ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ܲ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ܚܬܘ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ܿ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ܢ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ܟ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ܹ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ܐ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ܗ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ܲ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ܡܙ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ܸ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ܡܝ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ܼ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ܬܘ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ܿ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ܢ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ܠ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ܸ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ܫ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ܢ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ܐ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ܐ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ܬܘ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ܿ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ܪ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ܝ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ܐ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،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ܡ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ܨܝ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ܼ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ܬܘ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ܿ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ܢ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ܕܩ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ܲ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ܒܠܝ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ܼ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ܬܘ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ܿ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ܢ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ܚ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ܸ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ܠܡ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ܲ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ܬ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ܹ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ܐ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ܕܗ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ܲ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ܝ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ܲ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ܪܬ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ܐ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ܒܠ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ܸ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ܫ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ܢ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ܐ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ܡ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ܲ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ܓ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ܢ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ܐܝ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ܼ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ܬ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ܩܪܘ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ܿ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ܢ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ܥ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ܲ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ܠ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ܡ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ܸ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ܢܝ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ܢ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ܵ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ܐ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نتائج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مطابقة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1"/>
        </w:rPr>
        <w:t xml:space="preserve">للكلمة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Tiếng Việt (Vietnamese)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CHÚ Ý:  Nếu bạn nói Tiếng Việt, có các dịch vụ hỗ trợ ngôn ngữ miễn phí dành cho bạn.  Hãy yêu cầu nhân viên để được giúp đỡ.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Shqip (Albanian)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KUJDES:  Nëse flitni shqip, për ju ka në dispozicion shërbime të asistencës gjuhësore, pa pagesë.  Ju lutem pyesni një anëtar i stafit për ndihmë.</w:t>
      </w:r>
    </w:p>
    <w:p w:rsidR="00000000" w:rsidDel="00000000" w:rsidP="00000000" w:rsidRDefault="00000000" w:rsidRPr="00000000" w14:paraId="00000011">
      <w:pPr>
        <w:spacing w:after="0" w:lineRule="auto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한국어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(Korean)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주의:  한국어를 사용하시는 경우, 언어 지원 서비스를 무료로 이용하실 수 있습니다.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도움을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직원에게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문의하시기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바랍니다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বাংলা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(Bengali)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লক্ষ্য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করুনঃ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যদি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আপনি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বাংলা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কথা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বলতে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পারেন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তাহলে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নিঃখরচায়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ভাষা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সহায়তা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পরিষেবা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উপলব্ধ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আছে।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ফোন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করুন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সাহায্যের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জন্য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একটি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স্টাফ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সদস্য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জিজ্ঞাসা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করুন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0" w:lineRule="auto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Polski (Polish)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UWAGA:  Jeżeli mówisz po polsku, możesz skorzystać z bezpłatnej pomocy językowej.  Proszę zwrócić się do pracownika o pomoc.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45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Deutsch (German)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ACHTUNG:  Wenn Sie Deutsch sprechen, stehen Ihnen kostenlos sprachliche Hilfsdienstleistungen zur Verfügung.  Bitte fragen Sie einen Mitarbeiter um Hilfe.</w:t>
      </w:r>
    </w:p>
    <w:p w:rsidR="00000000" w:rsidDel="00000000" w:rsidP="00000000" w:rsidRDefault="00000000" w:rsidRPr="00000000" w14:paraId="00000019">
      <w:pPr>
        <w:spacing w:after="0" w:lineRule="auto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45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Italiano (Italian)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ATTENZIONE:  In caso la lingua parlata sia l'italiano, sono disponibili servizi di assistenza linguistica gratuiti.  Si prega di chiedere un membro del personale di assistenza.</w:t>
      </w:r>
    </w:p>
    <w:p w:rsidR="00000000" w:rsidDel="00000000" w:rsidP="00000000" w:rsidRDefault="00000000" w:rsidRPr="00000000" w14:paraId="0000001B">
      <w:pPr>
        <w:spacing w:after="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450"/>
        <w:jc w:val="left"/>
        <w:rPr>
          <w:rFonts w:ascii="MS Gothic" w:cs="MS Gothic" w:eastAsia="MS Gothic" w:hAnsi="MS Gothic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日本語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(Japanese)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注意事項：日本語を話される場合、無料の言語支援をご利用いただけます</w:t>
      </w:r>
      <w:r w:rsidDel="00000000" w:rsidR="00000000" w:rsidRPr="00000000">
        <w:rPr>
          <w:i w:val="0"/>
          <w:smallCaps w:val="0"/>
          <w:strike w:val="0"/>
          <w:color w:val="222222"/>
          <w:u w:val="none"/>
          <w:shd w:fill="auto" w:val="clear"/>
          <w:vertAlign w:val="baseline"/>
          <w:rtl w:val="0"/>
        </w:rPr>
        <w:t xml:space="preserve">支援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のためのスタッフにお尋ねください。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45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Русский (Russian)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ВНИМАНИЕ:  Если вы говорите на русском языке, то вам доступны бесплатные услуги перевода.  Пожалуйста, попросите сотрудника для получения помощи.</w:t>
      </w:r>
    </w:p>
    <w:p w:rsidR="00000000" w:rsidDel="00000000" w:rsidP="00000000" w:rsidRDefault="00000000" w:rsidRPr="00000000" w14:paraId="0000001F">
      <w:pPr>
        <w:spacing w:after="0" w:lineRule="auto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450"/>
        <w:jc w:val="left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Srpsko-hrvatski (Serbo-Croatian)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OBAVJEŠTENJE:  Ako govorite srpsko-hrvatski, usluge jezičke pomoći dostupne su vam besplatno.  Zamolite clana osoblja za pomoc. </w:t>
      </w:r>
    </w:p>
    <w:p w:rsidR="00000000" w:rsidDel="00000000" w:rsidP="00000000" w:rsidRDefault="00000000" w:rsidRPr="00000000" w14:paraId="00000021">
      <w:pPr>
        <w:spacing w:after="0" w:lineRule="auto"/>
        <w:rPr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10" w:right="0" w:hanging="45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Tagalog (Tagalog – Filipino)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PAUNAWA:  Kung nagsasalita ka ng Tagalog, maaari kang gumamit ng mga serbisyo ng tulong sa wika nang walang bayad.  Mangyaring hilingin sa miyembro para sa tulong staff.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    </w:t>
        <w:tab/>
        <w:t xml:space="preserve">              </w:t>
      </w:r>
      <w:hyperlink r:id="rId7">
        <w:r w:rsidDel="00000000" w:rsidR="00000000" w:rsidRPr="00000000">
          <w:rPr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http://www.hhs.gov/civil-rights/for-individuals/section-1557/translated-resources/index.html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87.2" w:top="720" w:left="720" w:right="720" w:header="144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MingLiU"/>
  <w:font w:name="MS Gothic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widowControl w:val="0"/>
      <w:spacing w:after="0" w:lineRule="auto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1702822" cy="1100138"/>
          <wp:effectExtent b="0" l="0" r="0" t="0"/>
          <wp:wrapNone/>
          <wp:docPr descr="EyeSurgeryCenter" id="2" name="image1.jpg"/>
          <a:graphic>
            <a:graphicData uri="http://schemas.openxmlformats.org/drawingml/2006/picture">
              <pic:pic>
                <pic:nvPicPr>
                  <pic:cNvPr descr="EyeSurgeryCenter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2822" cy="11001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                                                 </w:t>
    </w:r>
  </w:p>
  <w:p w:rsidR="00000000" w:rsidDel="00000000" w:rsidP="00000000" w:rsidRDefault="00000000" w:rsidRPr="00000000" w14:paraId="00000026">
    <w:pPr>
      <w:widowControl w:val="0"/>
      <w:spacing w:after="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10" w:hanging="360"/>
      </w:pPr>
      <w:rPr>
        <w:rFonts w:ascii="Arial" w:cs="Arial" w:eastAsia="Arial" w:hAnsi="Arial"/>
        <w:b w:val="1"/>
      </w:rPr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506A"/>
    <w:rPr>
      <w:rFonts w:ascii="Calibri" w:cs="Times New Roman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9399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9399E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D9399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9399E"/>
    <w:rPr>
      <w:rFonts w:ascii="Calibri" w:cs="Times New Roman" w:eastAsia="Calibri" w:hAnsi="Calibri"/>
    </w:rPr>
  </w:style>
  <w:style w:type="character" w:styleId="Hyperlink">
    <w:name w:val="Hyperlink"/>
    <w:basedOn w:val="DefaultParagraphFont"/>
    <w:uiPriority w:val="99"/>
    <w:unhideWhenUsed w:val="1"/>
    <w:rsid w:val="00D939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9399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9399E"/>
    <w:rPr>
      <w:rFonts w:ascii="Tahoma" w:cs="Tahoma" w:eastAsia="Calibri" w:hAnsi="Tahoma"/>
      <w:sz w:val="16"/>
      <w:szCs w:val="16"/>
    </w:rPr>
  </w:style>
  <w:style w:type="character" w:styleId="Strong">
    <w:name w:val="Strong"/>
    <w:basedOn w:val="DefaultParagraphFont"/>
    <w:uiPriority w:val="22"/>
    <w:qFormat w:val="1"/>
    <w:rsid w:val="00F91E61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226598"/>
    <w:pPr>
      <w:ind w:left="720"/>
      <w:contextualSpacing w:val="1"/>
    </w:pPr>
  </w:style>
  <w:style w:type="character" w:styleId="noresult" w:customStyle="1">
    <w:name w:val="no_result"/>
    <w:basedOn w:val="DefaultParagraphFont"/>
    <w:rsid w:val="0017624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hhs.gov/civil-rights/for-individuals/section-1557/translated-resources/index.htm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gMV/od8C8WdKSo4SzJib4Um2aw==">CgMxLjAyCGguZ2pkZ3hzOAByITFaV0s5c1FwUmY2RGppRDNtdGtPZTFXajFKN2RVTUczaw==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2016-10-10T19:46:00Z</dcterms:created>
  <dc:creator>Lesley Cothran</dc:creator>
</cp:coreProperties>
</file>