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tabs>
          <w:tab w:val="center" w:leader="none" w:pos="4320"/>
          <w:tab w:val="right" w:leader="none" w:pos="8640"/>
        </w:tabs>
        <w:jc w:val="center"/>
        <w:rPr>
          <w:b w:val="1"/>
          <w:sz w:val="28"/>
          <w:szCs w:val="28"/>
        </w:rPr>
      </w:pPr>
      <w:r w:rsidDel="00000000" w:rsidR="00000000" w:rsidRPr="00000000">
        <w:rPr>
          <w:rtl w:val="0"/>
        </w:rPr>
      </w:r>
    </w:p>
    <w:p w:rsidR="00000000" w:rsidDel="00000000" w:rsidP="00000000" w:rsidRDefault="00000000" w:rsidRPr="00000000" w14:paraId="00000005">
      <w:pPr>
        <w:tabs>
          <w:tab w:val="center" w:leader="none" w:pos="4320"/>
          <w:tab w:val="right" w:leader="none" w:pos="8640"/>
        </w:tabs>
        <w:jc w:val="center"/>
        <w:rPr>
          <w:b w:val="1"/>
          <w:sz w:val="28"/>
          <w:szCs w:val="28"/>
        </w:rPr>
      </w:pPr>
      <w:r w:rsidDel="00000000" w:rsidR="00000000" w:rsidRPr="00000000">
        <w:rPr>
          <w:rtl w:val="0"/>
        </w:rPr>
      </w:r>
    </w:p>
    <w:p w:rsidR="00000000" w:rsidDel="00000000" w:rsidP="00000000" w:rsidRDefault="00000000" w:rsidRPr="00000000" w14:paraId="00000006">
      <w:pPr>
        <w:tabs>
          <w:tab w:val="center" w:leader="none" w:pos="4320"/>
          <w:tab w:val="right" w:leader="none" w:pos="8640"/>
        </w:tabs>
        <w:jc w:val="center"/>
        <w:rPr>
          <w:b w:val="1"/>
          <w:sz w:val="16"/>
          <w:szCs w:val="16"/>
        </w:rPr>
      </w:pPr>
      <w:r w:rsidDel="00000000" w:rsidR="00000000" w:rsidRPr="00000000">
        <w:rPr>
          <w:rtl w:val="0"/>
        </w:rPr>
      </w:r>
    </w:p>
    <w:p w:rsidR="00000000" w:rsidDel="00000000" w:rsidP="00000000" w:rsidRDefault="00000000" w:rsidRPr="00000000" w14:paraId="00000007">
      <w:pPr>
        <w:tabs>
          <w:tab w:val="center" w:leader="none" w:pos="4320"/>
          <w:tab w:val="right" w:leader="none" w:pos="8640"/>
        </w:tabs>
        <w:jc w:val="center"/>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008">
      <w:pPr>
        <w:tabs>
          <w:tab w:val="center" w:leader="none" w:pos="4320"/>
          <w:tab w:val="right" w:leader="none" w:pos="8640"/>
        </w:tabs>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9">
      <w:pPr>
        <w:tabs>
          <w:tab w:val="center" w:leader="none" w:pos="4320"/>
          <w:tab w:val="right" w:leader="none" w:pos="8640"/>
        </w:tabs>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NOTICE OF PRIVACY PRACTICES</w:t>
      </w:r>
    </w:p>
    <w:p w:rsidR="00000000" w:rsidDel="00000000" w:rsidP="00000000" w:rsidRDefault="00000000" w:rsidRPr="00000000" w14:paraId="0000000A">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THIS NOTICE DESCRIBES HOW MEDICAL INFORMATION ABOUT YOU MAY BE USED AND DISCLOSED AND HOW YOU CAN GET ACCESS TO THIS INFORMATION. PLEASE REVIEW IT CAREFULLY.</w:t>
      </w:r>
    </w:p>
    <w:p w:rsidR="00000000" w:rsidDel="00000000" w:rsidP="00000000" w:rsidRDefault="00000000" w:rsidRPr="00000000" w14:paraId="0000000D">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privacy of your medical information is important to us. We understand that your medical information is personal and we are committed to protecting it. We create a record of the care and services you receive at our facility. We need this record to provide you with quality care and to comply with certain legal requirements. This notice will tell you about the ways we may use and share medical information about you. We also describe your rights and certain duties we have regarding the use and disclosure of Protected Health Information (PHI).</w:t>
      </w:r>
    </w:p>
    <w:p w:rsidR="00000000" w:rsidDel="00000000" w:rsidP="00000000" w:rsidRDefault="00000000" w:rsidRPr="00000000" w14:paraId="0000000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Law Requires Us To:</w:t>
      </w:r>
    </w:p>
    <w:p w:rsidR="00000000" w:rsidDel="00000000" w:rsidP="00000000" w:rsidRDefault="00000000" w:rsidRPr="00000000" w14:paraId="00000011">
      <w:pPr>
        <w:numPr>
          <w:ilvl w:val="0"/>
          <w:numId w:val="1"/>
        </w:numPr>
        <w:ind w:left="432" w:hanging="432"/>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Keep your medical information private.</w:t>
      </w:r>
      <w:r w:rsidDel="00000000" w:rsidR="00000000" w:rsidRPr="00000000">
        <w:rPr>
          <w:rtl w:val="0"/>
        </w:rPr>
      </w:r>
    </w:p>
    <w:p w:rsidR="00000000" w:rsidDel="00000000" w:rsidP="00000000" w:rsidRDefault="00000000" w:rsidRPr="00000000" w14:paraId="00000012">
      <w:pPr>
        <w:numPr>
          <w:ilvl w:val="0"/>
          <w:numId w:val="1"/>
        </w:numPr>
        <w:ind w:left="432" w:hanging="432"/>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Give you this notice describing our legal duties, privacy practices and your right regarding your PHI.</w:t>
      </w:r>
      <w:r w:rsidDel="00000000" w:rsidR="00000000" w:rsidRPr="00000000">
        <w:rPr>
          <w:rtl w:val="0"/>
        </w:rPr>
      </w:r>
    </w:p>
    <w:p w:rsidR="00000000" w:rsidDel="00000000" w:rsidP="00000000" w:rsidRDefault="00000000" w:rsidRPr="00000000" w14:paraId="00000013">
      <w:pPr>
        <w:numPr>
          <w:ilvl w:val="0"/>
          <w:numId w:val="1"/>
        </w:numPr>
        <w:ind w:left="432" w:hanging="432"/>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Follow the terms of the notice that is now in effect.</w:t>
      </w:r>
      <w:r w:rsidDel="00000000" w:rsidR="00000000" w:rsidRPr="00000000">
        <w:rPr>
          <w:rtl w:val="0"/>
        </w:rPr>
      </w:r>
    </w:p>
    <w:p w:rsidR="00000000" w:rsidDel="00000000" w:rsidP="00000000" w:rsidRDefault="00000000" w:rsidRPr="00000000" w14:paraId="00000014">
      <w:pPr>
        <w:numPr>
          <w:ilvl w:val="0"/>
          <w:numId w:val="1"/>
        </w:numPr>
        <w:ind w:left="432" w:hanging="432"/>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Notify you if a breach in the security of your Protected Health Information (PHI) occurs.</w:t>
      </w:r>
      <w:r w:rsidDel="00000000" w:rsidR="00000000" w:rsidRPr="00000000">
        <w:rPr>
          <w:rtl w:val="0"/>
        </w:rPr>
      </w:r>
    </w:p>
    <w:p w:rsidR="00000000" w:rsidDel="00000000" w:rsidP="00000000" w:rsidRDefault="00000000" w:rsidRPr="00000000" w14:paraId="0000001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We Have the Right To:</w:t>
      </w:r>
    </w:p>
    <w:p w:rsidR="00000000" w:rsidDel="00000000" w:rsidP="00000000" w:rsidRDefault="00000000" w:rsidRPr="00000000" w14:paraId="0000001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Change our privacy practices and the terms of this notice at any time, as long as they are permitted by law. This includes information previously created or received before those changes. Notification will occur if any important change is made, and will be available upon request.</w:t>
      </w:r>
    </w:p>
    <w:p w:rsidR="00000000" w:rsidDel="00000000" w:rsidP="00000000" w:rsidRDefault="00000000" w:rsidRPr="00000000" w14:paraId="0000001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Use and Disclosure of Your Protected Health Information (PHI):</w:t>
      </w:r>
    </w:p>
    <w:p w:rsidR="00000000" w:rsidDel="00000000" w:rsidP="00000000" w:rsidRDefault="00000000" w:rsidRPr="00000000" w14:paraId="0000001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following section describes different ways that we use your PHI. Not every use or disclosure will be listed. However, we have listed all of the different ways we are permitted to use and disclose PHI. We will not disclose any of your PHI for any purpose not listed below, without your specific written authorization. Any specific written authorization may be revoked at any time by writing to us. We are required to obtain your authorization prior to disclosing PHI related to psychotherapy notes, sale of PHI or marketing.</w:t>
      </w:r>
    </w:p>
    <w:p w:rsidR="00000000" w:rsidDel="00000000" w:rsidP="00000000" w:rsidRDefault="00000000" w:rsidRPr="00000000" w14:paraId="0000001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FOR TREATMENT: </w:t>
      </w:r>
      <w:r w:rsidDel="00000000" w:rsidR="00000000" w:rsidRPr="00000000">
        <w:rPr>
          <w:rFonts w:ascii="Calibri" w:cs="Calibri" w:eastAsia="Calibri" w:hAnsi="Calibri"/>
          <w:sz w:val="26"/>
          <w:szCs w:val="26"/>
          <w:rtl w:val="0"/>
        </w:rPr>
        <w:t xml:space="preserve">We may use PHI about you to provide you with medical treatment or services. We may disclose this information about you to doctors, nurses, technicians and other people taking care of you. We may also share your PHI with other health care providers to assist them in treating you.</w:t>
      </w:r>
    </w:p>
    <w:p w:rsidR="00000000" w:rsidDel="00000000" w:rsidP="00000000" w:rsidRDefault="00000000" w:rsidRPr="00000000" w14:paraId="0000001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FOR PAYMENT:</w:t>
      </w:r>
      <w:r w:rsidDel="00000000" w:rsidR="00000000" w:rsidRPr="00000000">
        <w:rPr>
          <w:rFonts w:ascii="Calibri" w:cs="Calibri" w:eastAsia="Calibri" w:hAnsi="Calibri"/>
          <w:sz w:val="26"/>
          <w:szCs w:val="26"/>
          <w:rtl w:val="0"/>
        </w:rPr>
        <w:t xml:space="preserve"> We may use PHI to obtain payment for the services we provide.</w:t>
      </w:r>
    </w:p>
    <w:p w:rsidR="00000000" w:rsidDel="00000000" w:rsidP="00000000" w:rsidRDefault="00000000" w:rsidRPr="00000000" w14:paraId="0000001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FOR HEALTH CARE OPERATIONS:</w:t>
      </w:r>
      <w:r w:rsidDel="00000000" w:rsidR="00000000" w:rsidRPr="00000000">
        <w:rPr>
          <w:rFonts w:ascii="Calibri" w:cs="Calibri" w:eastAsia="Calibri" w:hAnsi="Calibri"/>
          <w:sz w:val="26"/>
          <w:szCs w:val="26"/>
          <w:rtl w:val="0"/>
        </w:rPr>
        <w:t xml:space="preserve"> We may use and disclose your PHI for our health care operations. This might include quality improvement measures, evaluating performance of employees, staff training, accreditation, obtaining certificates and licensure that we need in order to operate. This also includes business management and administrative activities.</w:t>
      </w:r>
    </w:p>
    <w:p w:rsidR="00000000" w:rsidDel="00000000" w:rsidP="00000000" w:rsidRDefault="00000000" w:rsidRPr="00000000" w14:paraId="00000021">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OTHER USES AND DISCLOSURES: </w:t>
      </w:r>
      <w:r w:rsidDel="00000000" w:rsidR="00000000" w:rsidRPr="00000000">
        <w:rPr>
          <w:rFonts w:ascii="Calibri" w:cs="Calibri" w:eastAsia="Calibri" w:hAnsi="Calibri"/>
          <w:sz w:val="26"/>
          <w:szCs w:val="26"/>
          <w:rtl w:val="0"/>
        </w:rPr>
        <w:t xml:space="preserve">As part of treatment, payment and health care operations, we may also use or disclose your PHI for the following purposes:</w:t>
      </w:r>
    </w:p>
    <w:p w:rsidR="00000000" w:rsidDel="00000000" w:rsidP="00000000" w:rsidRDefault="00000000" w:rsidRPr="00000000" w14:paraId="0000002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Appointment Reminders: </w:t>
      </w:r>
      <w:r w:rsidDel="00000000" w:rsidR="00000000" w:rsidRPr="00000000">
        <w:rPr>
          <w:rFonts w:ascii="Calibri" w:cs="Calibri" w:eastAsia="Calibri" w:hAnsi="Calibri"/>
          <w:sz w:val="26"/>
          <w:szCs w:val="26"/>
          <w:rtl w:val="0"/>
        </w:rPr>
        <w:t xml:space="preserve">PHI used to contact you, a family member or other responsible person, as a reminder that you have an appointment for surgery at The Eye Surgery Center of Michigan</w:t>
      </w:r>
      <w:r w:rsidDel="00000000" w:rsidR="00000000" w:rsidRPr="00000000">
        <w:rPr>
          <w:rFonts w:ascii="Calibri" w:cs="Calibri" w:eastAsia="Calibri" w:hAnsi="Calibri"/>
          <w:sz w:val="26"/>
          <w:szCs w:val="26"/>
          <w:rtl w:val="0"/>
        </w:rPr>
        <w:t xml:space="preserve">. We will use the phone number(s) given to us by your surgeon’s office and may leave a message with a family member. We will limit the PHI disclosed when leaving a message. If you prefer we use a different phone number, not leave messages, or prefer we do not speak with family members, this can be requested by contacting the privacy officer, in writing, at the address below.</w:t>
      </w:r>
    </w:p>
    <w:p w:rsidR="00000000" w:rsidDel="00000000" w:rsidP="00000000" w:rsidRDefault="00000000" w:rsidRPr="00000000" w14:paraId="0000002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Notification: </w:t>
      </w:r>
      <w:r w:rsidDel="00000000" w:rsidR="00000000" w:rsidRPr="00000000">
        <w:rPr>
          <w:rFonts w:ascii="Calibri" w:cs="Calibri" w:eastAsia="Calibri" w:hAnsi="Calibri"/>
          <w:sz w:val="26"/>
          <w:szCs w:val="26"/>
          <w:rtl w:val="0"/>
        </w:rPr>
        <w:t xml:space="preserve">PHI used to notify or help notify a family member or other person responsible for your care. We will share information about your location in our facility, general condition and approximate wait time. If you are present, we will get your permission if possible, before we share this information. In case of emergency and/or if you are not able to give or refuse permission, we will share only the PHI that is directly necessary for your health care, according to our professional judgment to make decisions in your best interest.</w:t>
      </w:r>
    </w:p>
    <w:p w:rsidR="00000000" w:rsidDel="00000000" w:rsidP="00000000" w:rsidRDefault="00000000" w:rsidRPr="00000000" w14:paraId="0000002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Disaster Relief: </w:t>
      </w:r>
      <w:r w:rsidDel="00000000" w:rsidR="00000000" w:rsidRPr="00000000">
        <w:rPr>
          <w:rFonts w:ascii="Calibri" w:cs="Calibri" w:eastAsia="Calibri" w:hAnsi="Calibri"/>
          <w:sz w:val="26"/>
          <w:szCs w:val="26"/>
          <w:rtl w:val="0"/>
        </w:rPr>
        <w:t xml:space="preserve">PHI will be shared with public or private organizations or persons who can legally assist in disaster relief efforts.</w:t>
      </w:r>
    </w:p>
    <w:p w:rsidR="00000000" w:rsidDel="00000000" w:rsidP="00000000" w:rsidRDefault="00000000" w:rsidRPr="00000000" w14:paraId="0000002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Fundraising: </w:t>
      </w:r>
      <w:r w:rsidDel="00000000" w:rsidR="00000000" w:rsidRPr="00000000">
        <w:rPr>
          <w:rFonts w:ascii="Calibri" w:cs="Calibri" w:eastAsia="Calibri" w:hAnsi="Calibri"/>
          <w:sz w:val="26"/>
          <w:szCs w:val="26"/>
          <w:rtl w:val="0"/>
        </w:rPr>
        <w:t xml:space="preserve">We may contact you to raise funds for the facility or an institutional foundation related to the facility. You have the right to opt out. If you do not wish to be contacted, please contact our Privacy Officer.</w:t>
      </w:r>
    </w:p>
    <w:p w:rsidR="00000000" w:rsidDel="00000000" w:rsidP="00000000" w:rsidRDefault="00000000" w:rsidRPr="00000000" w14:paraId="0000003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Research in Limited Circumstances: </w:t>
      </w:r>
      <w:r w:rsidDel="00000000" w:rsidR="00000000" w:rsidRPr="00000000">
        <w:rPr>
          <w:rFonts w:ascii="Calibri" w:cs="Calibri" w:eastAsia="Calibri" w:hAnsi="Calibri"/>
          <w:sz w:val="26"/>
          <w:szCs w:val="26"/>
          <w:rtl w:val="0"/>
        </w:rPr>
        <w:t xml:space="preserve">PHI for research purposes in limited circumstances where the research has been approved by the Governing Body. They will review the research proposal and established protocols to ensure the privacy of your PHI.</w:t>
      </w:r>
    </w:p>
    <w:p w:rsidR="00000000" w:rsidDel="00000000" w:rsidP="00000000" w:rsidRDefault="00000000" w:rsidRPr="00000000" w14:paraId="0000003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Funeral Director, Coroner, Medical Examiner and Organ Donation: </w:t>
      </w:r>
      <w:r w:rsidDel="00000000" w:rsidR="00000000" w:rsidRPr="00000000">
        <w:rPr>
          <w:rFonts w:ascii="Calibri" w:cs="Calibri" w:eastAsia="Calibri" w:hAnsi="Calibri"/>
          <w:sz w:val="26"/>
          <w:szCs w:val="26"/>
          <w:rtl w:val="0"/>
        </w:rPr>
        <w:t xml:space="preserve">We may disclose the PHI of a person who has died with these entities in order to help them carry out their duties.</w:t>
      </w:r>
    </w:p>
    <w:p w:rsidR="00000000" w:rsidDel="00000000" w:rsidP="00000000" w:rsidRDefault="00000000" w:rsidRPr="00000000" w14:paraId="0000003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Specialized Government Functions:</w:t>
      </w:r>
      <w:r w:rsidDel="00000000" w:rsidR="00000000" w:rsidRPr="00000000">
        <w:rPr>
          <w:rFonts w:ascii="Calibri" w:cs="Calibri" w:eastAsia="Calibri" w:hAnsi="Calibri"/>
          <w:sz w:val="26"/>
          <w:szCs w:val="26"/>
          <w:rtl w:val="0"/>
        </w:rPr>
        <w:t xml:space="preserve"> Subject to certain requirements, we may disclose and/or use PHI for military personnel and veterans, for national security and intelligence activities, for protective services for the President and others, for medical suitability determinations for the Department of the State, for correctional institutions and other law enforcement custodial situations, and for government programs providing public benefits.</w:t>
      </w:r>
    </w:p>
    <w:p w:rsidR="00000000" w:rsidDel="00000000" w:rsidP="00000000" w:rsidRDefault="00000000" w:rsidRPr="00000000" w14:paraId="0000003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Court Orders and Judicial Administrative Proceedings: </w:t>
      </w:r>
      <w:r w:rsidDel="00000000" w:rsidR="00000000" w:rsidRPr="00000000">
        <w:rPr>
          <w:rFonts w:ascii="Calibri" w:cs="Calibri" w:eastAsia="Calibri" w:hAnsi="Calibri"/>
          <w:sz w:val="26"/>
          <w:szCs w:val="26"/>
          <w:rtl w:val="0"/>
        </w:rPr>
        <w:t xml:space="preserve">We may disclose your PHI in response to a court or administrative order, subpoena, discovery request or other lawful process. Under limited circumstances, such as a court order, warrant or grand jury subpoena, we may share your PHI with law enforcement officials. We may share limited information with law enforcement officials concerning the medical information of a suspect, fugitive, material witness, crime or missing person. We may also </w:t>
      </w:r>
    </w:p>
    <w:p w:rsidR="00000000" w:rsidDel="00000000" w:rsidP="00000000" w:rsidRDefault="00000000" w:rsidRPr="00000000" w14:paraId="0000003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share the medical information of an inmate or other person in lawful custody with a law enforcement official or correctional institution under certain circumstances.</w:t>
      </w:r>
      <w:r w:rsidDel="00000000" w:rsidR="00000000" w:rsidRPr="00000000">
        <w:rPr>
          <w:rtl w:val="0"/>
        </w:rPr>
      </w:r>
    </w:p>
    <w:p w:rsidR="00000000" w:rsidDel="00000000" w:rsidP="00000000" w:rsidRDefault="00000000" w:rsidRPr="00000000" w14:paraId="00000041">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Public Health Activities:</w:t>
      </w:r>
      <w:r w:rsidDel="00000000" w:rsidR="00000000" w:rsidRPr="00000000">
        <w:rPr>
          <w:rFonts w:ascii="Calibri" w:cs="Calibri" w:eastAsia="Calibri" w:hAnsi="Calibri"/>
          <w:sz w:val="26"/>
          <w:szCs w:val="26"/>
          <w:rtl w:val="0"/>
        </w:rPr>
        <w:t xml:space="preserve"> As required by law, we may disclose your PHI to public health or official authorities charged with preventing or controlling disease, injury or disability, including suspected physical abuse, neglect or domestic violence. We may also disclose your PHI to the Food and Drug Administration for purposes of reporting adverse events associated with product defects, problems, tracking and other activities. We may also, when authorized by the law to do so, notify a person who may have been exposed to a communicable disease or otherwise be at risk or contracting or spreading a disease or condition.</w:t>
      </w:r>
    </w:p>
    <w:p w:rsidR="00000000" w:rsidDel="00000000" w:rsidP="00000000" w:rsidRDefault="00000000" w:rsidRPr="00000000" w14:paraId="00000043">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YOUR RIGHTS:</w:t>
      </w:r>
    </w:p>
    <w:p w:rsidR="00000000" w:rsidDel="00000000" w:rsidP="00000000" w:rsidRDefault="00000000" w:rsidRPr="00000000" w14:paraId="00000045">
      <w:pPr>
        <w:numPr>
          <w:ilvl w:val="0"/>
          <w:numId w:val="2"/>
        </w:numPr>
        <w:ind w:left="432" w:hanging="43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right to inspect and copy your PHI, via written request to the Privacy Officer. We may deny your request, if in our professional judgment, we determine that the access requested will endanger your life or another’s.</w:t>
      </w:r>
    </w:p>
    <w:p w:rsidR="00000000" w:rsidDel="00000000" w:rsidP="00000000" w:rsidRDefault="00000000" w:rsidRPr="00000000" w14:paraId="00000046">
      <w:pPr>
        <w:ind w:left="432"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7">
      <w:pPr>
        <w:numPr>
          <w:ilvl w:val="0"/>
          <w:numId w:val="2"/>
        </w:numPr>
        <w:ind w:left="432" w:hanging="43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right to request a restriction on uses and disclosures of your PHI.</w:t>
      </w:r>
    </w:p>
    <w:p w:rsidR="00000000" w:rsidDel="00000000" w:rsidP="00000000" w:rsidRDefault="00000000" w:rsidRPr="00000000" w14:paraId="00000048">
      <w:pPr>
        <w:ind w:left="0"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9">
      <w:pPr>
        <w:numPr>
          <w:ilvl w:val="0"/>
          <w:numId w:val="2"/>
        </w:numPr>
        <w:ind w:left="432" w:hanging="43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right to request to receive confidential communications from us by alternative means or locations.</w:t>
      </w:r>
    </w:p>
    <w:p w:rsidR="00000000" w:rsidDel="00000000" w:rsidP="00000000" w:rsidRDefault="00000000" w:rsidRPr="00000000" w14:paraId="0000004A">
      <w:pPr>
        <w:ind w:left="432"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B">
      <w:pPr>
        <w:numPr>
          <w:ilvl w:val="0"/>
          <w:numId w:val="2"/>
        </w:numPr>
        <w:ind w:left="432" w:hanging="43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right to request amendments to your PHI in writing with reasons to support such a request. In certain cases, we may deny your request for an amendment.</w:t>
      </w:r>
    </w:p>
    <w:p w:rsidR="00000000" w:rsidDel="00000000" w:rsidP="00000000" w:rsidRDefault="00000000" w:rsidRPr="00000000" w14:paraId="0000004C">
      <w:pPr>
        <w:ind w:left="432"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D">
      <w:pPr>
        <w:numPr>
          <w:ilvl w:val="0"/>
          <w:numId w:val="2"/>
        </w:numPr>
        <w:ind w:left="432" w:hanging="43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right to receive an accounting of certain disclosures for purposes of treatment, payment or health care operations. These written requests must be submitted to our Privacy Officer. Requests may not be for a period more than 6 years. We will provide the first request within any 12-month charge. Subsequent accounting requests may be subject to a reasonable cost-based fee.</w:t>
      </w:r>
    </w:p>
    <w:p w:rsidR="00000000" w:rsidDel="00000000" w:rsidP="00000000" w:rsidRDefault="00000000" w:rsidRPr="00000000" w14:paraId="0000004E">
      <w:pPr>
        <w:ind w:left="432"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F">
      <w:pPr>
        <w:numPr>
          <w:ilvl w:val="0"/>
          <w:numId w:val="2"/>
        </w:numPr>
        <w:ind w:left="432" w:hanging="43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right to request that The Eye Surgery Center of Michigan not disclose your PHI to your health plan for the purposes of payment or healthcare operations, and if you are paying for your treatment out of pocket in full, then the facility must honor your requested restriction.</w:t>
      </w:r>
    </w:p>
    <w:p w:rsidR="00000000" w:rsidDel="00000000" w:rsidP="00000000" w:rsidRDefault="00000000" w:rsidRPr="00000000" w14:paraId="00000050">
      <w:pPr>
        <w:ind w:left="432"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51">
      <w:pPr>
        <w:numPr>
          <w:ilvl w:val="0"/>
          <w:numId w:val="2"/>
        </w:numPr>
        <w:ind w:left="432" w:hanging="43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right to obtain a paper copy of this notice.</w:t>
      </w:r>
    </w:p>
    <w:p w:rsidR="00000000" w:rsidDel="00000000" w:rsidP="00000000" w:rsidRDefault="00000000" w:rsidRPr="00000000" w14:paraId="00000052">
      <w:pPr>
        <w:ind w:left="432"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53">
      <w:pPr>
        <w:numPr>
          <w:ilvl w:val="0"/>
          <w:numId w:val="2"/>
        </w:numPr>
        <w:ind w:left="432" w:hanging="43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right to revoke your authorization of PHI release at any time.</w:t>
      </w:r>
    </w:p>
    <w:p w:rsidR="00000000" w:rsidDel="00000000" w:rsidP="00000000" w:rsidRDefault="00000000" w:rsidRPr="00000000" w14:paraId="00000054">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Privacy Officer: </w:t>
      </w:r>
      <w:hyperlink r:id="rId7">
        <w:r w:rsidDel="00000000" w:rsidR="00000000" w:rsidRPr="00000000">
          <w:rPr>
            <w:color w:val="0000ee"/>
            <w:u w:val="single"/>
            <w:shd w:fill="auto" w:val="clear"/>
            <w:rtl w:val="0"/>
          </w:rPr>
          <w:t xml:space="preserve">Jennifer Bednarchik</w:t>
        </w:r>
      </w:hyperlink>
      <w:r w:rsidDel="00000000" w:rsidR="00000000" w:rsidRPr="00000000">
        <w:rPr>
          <w:rtl w:val="0"/>
        </w:rPr>
      </w:r>
    </w:p>
    <w:p w:rsidR="00000000" w:rsidDel="00000000" w:rsidP="00000000" w:rsidRDefault="00000000" w:rsidRPr="00000000" w14:paraId="00000057">
      <w:pPr>
        <w:rPr>
          <w:rFonts w:ascii="Calibri" w:cs="Calibri" w:eastAsia="Calibri" w:hAnsi="Calibri"/>
          <w:sz w:val="26"/>
          <w:szCs w:val="26"/>
          <w:highlight w:val="yellow"/>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3455 Livernois Road, Troy, MI 48083</w:t>
      </w:r>
    </w:p>
    <w:p w:rsidR="00000000" w:rsidDel="00000000" w:rsidP="00000000" w:rsidRDefault="00000000" w:rsidRPr="00000000" w14:paraId="0000005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Privacy Officer can be contacted by telephone at 248-619-2020.</w:t>
      </w:r>
    </w:p>
    <w:p w:rsidR="00000000" w:rsidDel="00000000" w:rsidP="00000000" w:rsidRDefault="00000000" w:rsidRPr="00000000" w14:paraId="0000005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This notice is effective October 23, 2020.</w:t>
      </w:r>
      <w:r w:rsidDel="00000000" w:rsidR="00000000" w:rsidRPr="00000000">
        <w:rPr>
          <w:rtl w:val="0"/>
        </w:rPr>
      </w:r>
    </w:p>
    <w:sectPr>
      <w:headerReference r:id="rId8" w:type="default"/>
      <w:footerReference r:id="rId9" w:type="default"/>
      <w:pgSz w:h="15840" w:w="12240" w:orient="portrait"/>
      <w:pgMar w:bottom="187.2" w:top="720" w:left="720" w:right="720" w:header="144"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8"/>
        <w:szCs w:val="28"/>
      </w:rPr>
      <w:drawing>
        <wp:anchor allowOverlap="1" behindDoc="1" distB="0" distT="0" distL="0" distR="0" hidden="0" layoutInCell="1" locked="0" relativeHeight="0" simplePos="0">
          <wp:simplePos x="0" y="0"/>
          <wp:positionH relativeFrom="margin">
            <wp:align>center</wp:align>
          </wp:positionH>
          <wp:positionV relativeFrom="margin">
            <wp:align>top</wp:align>
          </wp:positionV>
          <wp:extent cx="1702822" cy="1100138"/>
          <wp:effectExtent b="0" l="0" r="0" t="0"/>
          <wp:wrapNone/>
          <wp:docPr descr="EyeSurgeryCenter" id="1" name="image1.jpg"/>
          <a:graphic>
            <a:graphicData uri="http://schemas.openxmlformats.org/drawingml/2006/picture">
              <pic:pic>
                <pic:nvPicPr>
                  <pic:cNvPr descr="EyeSurgeryCenter" id="0" name="image1.jpg"/>
                  <pic:cNvPicPr preferRelativeResize="0"/>
                </pic:nvPicPr>
                <pic:blipFill>
                  <a:blip r:embed="rId1"/>
                  <a:srcRect b="0" l="0" r="0" t="0"/>
                  <a:stretch>
                    <a:fillRect/>
                  </a:stretch>
                </pic:blipFill>
                <pic:spPr>
                  <a:xfrm>
                    <a:off x="0" y="0"/>
                    <a:ext cx="1702822" cy="11001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2" w:hanging="432"/>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432" w:hanging="432"/>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F2C5F"/>
    <w:pPr>
      <w:spacing w:after="0"/>
    </w:pPr>
    <w:rPr>
      <w:rFonts w:ascii="Arial" w:cs="Times New Roman" w:eastAsia="Times New Roman" w:hAnsi="Arial"/>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F2C5F"/>
    <w:pPr>
      <w:tabs>
        <w:tab w:val="center" w:pos="4320"/>
        <w:tab w:val="right" w:pos="8640"/>
      </w:tabs>
    </w:pPr>
  </w:style>
  <w:style w:type="character" w:styleId="HeaderChar" w:customStyle="1">
    <w:name w:val="Header Char"/>
    <w:basedOn w:val="DefaultParagraphFont"/>
    <w:link w:val="Header"/>
    <w:uiPriority w:val="99"/>
    <w:rsid w:val="00AF2C5F"/>
    <w:rPr>
      <w:rFonts w:ascii="Arial" w:cs="Times New Roman" w:eastAsia="Times New Roman" w:hAnsi="Arial"/>
      <w:sz w:val="24"/>
      <w:szCs w:val="24"/>
      <w:lang w:eastAsia="en-US"/>
    </w:rPr>
  </w:style>
  <w:style w:type="paragraph" w:styleId="Footer">
    <w:name w:val="footer"/>
    <w:basedOn w:val="Normal"/>
    <w:link w:val="FooterChar"/>
    <w:uiPriority w:val="99"/>
    <w:unhideWhenUsed w:val="1"/>
    <w:rsid w:val="00AF2C5F"/>
    <w:pPr>
      <w:tabs>
        <w:tab w:val="center" w:pos="4320"/>
        <w:tab w:val="right" w:pos="8640"/>
      </w:tabs>
    </w:pPr>
  </w:style>
  <w:style w:type="character" w:styleId="FooterChar" w:customStyle="1">
    <w:name w:val="Footer Char"/>
    <w:basedOn w:val="DefaultParagraphFont"/>
    <w:link w:val="Footer"/>
    <w:uiPriority w:val="99"/>
    <w:rsid w:val="00AF2C5F"/>
    <w:rPr>
      <w:rFonts w:ascii="Arial" w:cs="Times New Roman" w:eastAsia="Times New Roman" w:hAnsi="Arial"/>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bednarchik@midwestvision.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XZZ9CEfQuM8Qh8uU32aKgeAyQ==">CgMxLjA4AHIhMXZSbjFqTGR0OFZ2Slc2V2x6WnpxTTJtbDNHZkxrT0dW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2013-08-29T17:20:00Z</dcterms:created>
  <dc:creator>Cristine Boore</dc:creator>
</cp:coreProperties>
</file>